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D4E7D4">
      <w:pPr>
        <w:spacing w:after="0" w:line="240" w:lineRule="auto"/>
        <w:jc w:val="center"/>
        <w:rPr>
          <w:rFonts w:ascii="Liberation Serif" w:hAnsi="Liberation Serif"/>
          <w:b/>
        </w:rPr>
      </w:pPr>
      <w:r>
        <w:rPr>
          <w:rFonts w:hint="default" w:ascii="Arial" w:hAnsi="Arial" w:cs="Arial"/>
          <w:b/>
          <w:sz w:val="24"/>
          <w:szCs w:val="24"/>
        </w:rPr>
        <w:t>Схема по обеспечению проведения ГИА-11 и итогового сочинения (изложения)</w:t>
      </w:r>
      <w:r>
        <w:rPr>
          <w:rFonts w:hint="default" w:ascii="Arial" w:hAnsi="Arial" w:cs="Arial"/>
          <w:b/>
          <w:sz w:val="24"/>
          <w:szCs w:val="24"/>
          <w:lang w:val="ru-RU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для участников ГИА-11 с ограниченными возможностя</w:t>
      </w:r>
      <w:r>
        <w:rPr>
          <w:rFonts w:hint="default" w:ascii="Arial" w:hAnsi="Arial" w:cs="Arial"/>
          <w:b/>
          <w:sz w:val="24"/>
          <w:szCs w:val="24"/>
          <w:lang w:val="ru-RU"/>
        </w:rPr>
        <w:t>м</w:t>
      </w:r>
      <w:r>
        <w:rPr>
          <w:rFonts w:hint="default" w:ascii="Arial" w:hAnsi="Arial" w:cs="Arial"/>
          <w:b/>
          <w:sz w:val="24"/>
          <w:szCs w:val="24"/>
        </w:rPr>
        <w:t>и здоровья, детей-инвалидов и инвалидов</w:t>
      </w:r>
    </w:p>
    <w:p w14:paraId="4D246305"/>
    <w:tbl>
      <w:tblPr>
        <w:tblStyle w:val="4"/>
        <w:tblW w:w="0" w:type="auto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9"/>
        <w:gridCol w:w="5097"/>
      </w:tblGrid>
      <w:tr w14:paraId="3DD94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9" w:type="dxa"/>
            <w:vMerge w:val="restart"/>
            <w:tcBorders>
              <w:right w:val="single" w:color="auto" w:sz="4" w:space="0"/>
            </w:tcBorders>
          </w:tcPr>
          <w:p w14:paraId="665FA385">
            <w:pPr>
              <w:spacing w:after="0" w:line="240" w:lineRule="auto"/>
              <w:rPr>
                <w:rFonts w:ascii="Arial" w:hAnsi="Arial" w:cs="Arial" w:eastAsiaTheme="minorEastAsia"/>
                <w:sz w:val="24"/>
                <w:szCs w:val="24"/>
                <w:lang w:eastAsia="ru-RU"/>
              </w:rPr>
            </w:pPr>
            <w:r>
              <w:rPr>
                <w:rFonts w:ascii="Arial" w:hAnsi="Arial" w:cs="Arial" w:eastAsiaTheme="minorEastAsia"/>
                <w:sz w:val="24"/>
                <w:szCs w:val="24"/>
                <w:lang w:eastAsia="ru-RU"/>
              </w:rPr>
              <w:t>Для лиц с ОВЗ (</w:t>
            </w:r>
            <w:r>
              <w:rPr>
                <w:rFonts w:ascii="Arial" w:hAnsi="Arial" w:cs="Arial" w:eastAsiaTheme="minorEastAsia"/>
                <w:b/>
                <w:sz w:val="24"/>
                <w:szCs w:val="24"/>
                <w:lang w:eastAsia="ru-RU"/>
              </w:rPr>
              <w:t>при предъявлении оригинала или надлежащим образом заверенной копии рекомендаций ПМПК)</w:t>
            </w:r>
            <w:r>
              <w:rPr>
                <w:rFonts w:ascii="Arial" w:hAnsi="Arial" w:cs="Arial" w:eastAsiaTheme="minorEastAsia"/>
                <w:sz w:val="24"/>
                <w:szCs w:val="24"/>
                <w:lang w:eastAsia="ru-RU"/>
              </w:rPr>
              <w:t>, для участников ГИА-11 - детей-инвалидов и инвалидов (</w:t>
            </w:r>
            <w:r>
              <w:rPr>
                <w:rFonts w:ascii="Arial" w:hAnsi="Arial" w:cs="Arial" w:eastAsiaTheme="minorEastAsia"/>
                <w:b/>
                <w:sz w:val="24"/>
                <w:szCs w:val="24"/>
                <w:lang w:eastAsia="ru-RU"/>
              </w:rPr>
              <w:t>при предъявлении оригинала или надлежащим образом заверенной копии справки, подтверждающей инвалидность</w:t>
            </w:r>
            <w:r>
              <w:rPr>
                <w:rFonts w:ascii="Arial" w:hAnsi="Arial" w:cs="Arial" w:eastAsiaTheme="minorEastAsia"/>
                <w:sz w:val="24"/>
                <w:szCs w:val="24"/>
                <w:lang w:eastAsia="ru-RU"/>
              </w:rPr>
              <w:t>) обеспечивается создание следующих условий проведения экзамена:</w:t>
            </w:r>
          </w:p>
          <w:p w14:paraId="6F7B94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 w:eastAsiaTheme="minorEastAsia"/>
                <w:sz w:val="24"/>
                <w:szCs w:val="24"/>
                <w:lang w:eastAsia="ru-RU"/>
              </w:rPr>
            </w:pPr>
          </w:p>
          <w:p w14:paraId="155A0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 w:eastAsiaTheme="minorEastAsia"/>
                <w:sz w:val="24"/>
                <w:szCs w:val="24"/>
                <w:lang w:eastAsia="ru-RU"/>
              </w:rPr>
            </w:pPr>
            <w:r>
              <w:rPr>
                <w:rFonts w:ascii="Arial" w:hAnsi="Arial" w:cs="Arial" w:eastAsiaTheme="minorEastAsia"/>
                <w:sz w:val="24"/>
                <w:szCs w:val="24"/>
                <w:lang w:eastAsia="ru-RU"/>
              </w:rPr>
              <w:t>1) проведение ГИА в форме ГВЭ по обязательным учебным предметам в устной форме по желанию;</w:t>
            </w:r>
          </w:p>
          <w:p w14:paraId="30C23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 w:eastAsiaTheme="minorEastAsia"/>
                <w:sz w:val="24"/>
                <w:szCs w:val="24"/>
                <w:lang w:eastAsia="ru-RU"/>
              </w:rPr>
            </w:pPr>
            <w:r>
              <w:rPr>
                <w:rFonts w:ascii="Arial" w:hAnsi="Arial" w:cs="Arial" w:eastAsiaTheme="minorEastAsia"/>
                <w:sz w:val="24"/>
                <w:szCs w:val="24"/>
                <w:lang w:eastAsia="ru-RU"/>
              </w:rPr>
              <w:t>2) увеличение продолжительности выполнения заданий КИМ ЕГЭ по иностранным языкам, требующих предоставления участниками экзаменов устных ответов, - на 30 минут;</w:t>
            </w:r>
          </w:p>
          <w:p w14:paraId="07680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 w:eastAsiaTheme="minorEastAsia"/>
                <w:sz w:val="24"/>
                <w:szCs w:val="24"/>
                <w:lang w:eastAsia="ru-RU"/>
              </w:rPr>
            </w:pPr>
            <w:r>
              <w:rPr>
                <w:rFonts w:ascii="Arial" w:hAnsi="Arial" w:cs="Arial" w:eastAsiaTheme="minorEastAsia"/>
                <w:sz w:val="24"/>
                <w:szCs w:val="24"/>
                <w:lang w:eastAsia="ru-RU"/>
              </w:rPr>
              <w:t>3) увеличение продолжительности итогового сочинения (изложения), экзаменов по учебным предметам - на 1,5 часа;</w:t>
            </w:r>
          </w:p>
          <w:p w14:paraId="05A712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 w:eastAsiaTheme="minorEastAsia"/>
                <w:sz w:val="24"/>
                <w:szCs w:val="24"/>
                <w:lang w:eastAsia="ru-RU"/>
              </w:rPr>
            </w:pPr>
            <w:r>
              <w:rPr>
                <w:rFonts w:ascii="Arial" w:hAnsi="Arial" w:cs="Arial" w:eastAsiaTheme="minorEastAsia"/>
                <w:sz w:val="24"/>
                <w:szCs w:val="24"/>
                <w:lang w:eastAsia="ru-RU"/>
              </w:rPr>
              <w:t>4) организация питания и перерывов для проведения необходимых лечебных и профилактических мероприятий во время проведения экзамена;</w:t>
            </w:r>
          </w:p>
          <w:p w14:paraId="7F761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Arial" w:hAnsi="Arial" w:cs="Arial" w:eastAsiaTheme="minorEastAsia"/>
                <w:sz w:val="24"/>
                <w:szCs w:val="24"/>
                <w:lang w:eastAsia="ru-RU"/>
              </w:rPr>
              <w:t>5) беспрепятственный доступ участников экзаменов в аудитории, туалетные и иные помещения, а также их пребывание в указанных помещениях (наличие пандусов, поручней, расширенных дверных проемов, лифтов (при отсутствии лифтов аудитория располагается на первом этаже), наличие специальных кресел и других приспособлений).</w:t>
            </w:r>
            <w:bookmarkStart w:id="0" w:name="_GoBack"/>
            <w:bookmarkEnd w:id="0"/>
          </w:p>
        </w:tc>
        <w:tc>
          <w:tcPr>
            <w:tcW w:w="509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736A4994">
            <w:pPr>
              <w:spacing w:after="0" w:line="240" w:lineRule="auto"/>
            </w:pPr>
            <w:r>
              <w:rPr>
                <w:rFonts w:ascii="Arial" w:hAnsi="Arial" w:cs="Arial" w:eastAsiaTheme="minorEastAsia"/>
                <w:sz w:val="24"/>
                <w:szCs w:val="24"/>
                <w:lang w:eastAsia="ru-RU"/>
              </w:rPr>
              <w:t xml:space="preserve">Для участников экзаменов с ОВЗ, обучающихся по состоянию здоровья на дому, в медицинских организациях </w:t>
            </w:r>
            <w:r>
              <w:rPr>
                <w:rFonts w:ascii="Arial" w:hAnsi="Arial" w:cs="Arial" w:eastAsiaTheme="minorEastAsia"/>
                <w:b/>
                <w:sz w:val="24"/>
                <w:szCs w:val="24"/>
                <w:lang w:eastAsia="ru-RU"/>
              </w:rPr>
              <w:t>(при предъявлении оригинала или надлежащим образом заверенной копии рекомендаций ПМПК)</w:t>
            </w:r>
            <w:r>
              <w:rPr>
                <w:rFonts w:ascii="Arial" w:hAnsi="Arial" w:cs="Arial" w:eastAsiaTheme="minorEastAsia"/>
                <w:sz w:val="24"/>
                <w:szCs w:val="24"/>
                <w:lang w:eastAsia="ru-RU"/>
              </w:rPr>
              <w:t>, для участников экзаменов - детей-инвалидов и инвалидов (</w:t>
            </w:r>
            <w:r>
              <w:rPr>
                <w:rFonts w:ascii="Arial" w:hAnsi="Arial" w:cs="Arial" w:eastAsiaTheme="minorEastAsia"/>
                <w:b/>
                <w:sz w:val="24"/>
                <w:szCs w:val="24"/>
                <w:lang w:eastAsia="ru-RU"/>
              </w:rPr>
              <w:t xml:space="preserve">при предъявлении оригинала или надлежащим образом заверенной копии справки, подтверждающей инвалидность, и оригинала или надлежащим образом заверенной копии рекомендаций ПМПК) </w:t>
            </w:r>
            <w:r>
              <w:rPr>
                <w:rFonts w:ascii="Arial" w:hAnsi="Arial" w:cs="Arial" w:eastAsiaTheme="minorEastAsia"/>
                <w:sz w:val="24"/>
                <w:szCs w:val="24"/>
                <w:lang w:eastAsia="ru-RU"/>
              </w:rPr>
              <w:t>обеспечивается</w:t>
            </w:r>
            <w:r>
              <w:rPr>
                <w:rFonts w:ascii="Arial" w:hAnsi="Arial" w:cs="Arial" w:eastAsiaTheme="minorEastAsia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hAnsi="Arial" w:cs="Arial" w:eastAsiaTheme="minorEastAsia"/>
                <w:sz w:val="24"/>
                <w:szCs w:val="24"/>
                <w:lang w:eastAsia="ru-RU"/>
              </w:rPr>
              <w:t>создание следующих условий:</w:t>
            </w:r>
          </w:p>
        </w:tc>
      </w:tr>
      <w:tr w14:paraId="045F3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9" w:type="dxa"/>
            <w:vMerge w:val="continue"/>
          </w:tcPr>
          <w:p w14:paraId="52AEEB44">
            <w:pPr>
              <w:spacing w:after="0" w:line="240" w:lineRule="auto"/>
            </w:pPr>
          </w:p>
        </w:tc>
        <w:tc>
          <w:tcPr>
            <w:tcW w:w="5097" w:type="dxa"/>
            <w:tcBorders>
              <w:top w:val="nil"/>
            </w:tcBorders>
          </w:tcPr>
          <w:p w14:paraId="57744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 w:eastAsiaTheme="minorEastAsia"/>
                <w:sz w:val="26"/>
                <w:szCs w:val="26"/>
                <w:lang w:eastAsia="ru-RU"/>
              </w:rPr>
            </w:pPr>
          </w:p>
          <w:p w14:paraId="0EC1E1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 w:eastAsiaTheme="minorEastAsia"/>
                <w:sz w:val="24"/>
                <w:szCs w:val="24"/>
                <w:lang w:eastAsia="ru-RU"/>
              </w:rPr>
            </w:pPr>
            <w:r>
              <w:rPr>
                <w:rFonts w:ascii="Arial" w:hAnsi="Arial" w:cs="Arial" w:eastAsiaTheme="minorEastAsia"/>
                <w:sz w:val="26"/>
                <w:szCs w:val="26"/>
                <w:lang w:eastAsia="ru-RU"/>
              </w:rPr>
              <w:t>1</w:t>
            </w:r>
            <w:r>
              <w:rPr>
                <w:rFonts w:ascii="Arial" w:hAnsi="Arial" w:cs="Arial" w:eastAsiaTheme="minorEastAsia"/>
                <w:sz w:val="24"/>
                <w:szCs w:val="24"/>
                <w:lang w:eastAsia="ru-RU"/>
              </w:rPr>
              <w:t>) присутствие ассистентов, оказывающих указанным лицам необходимую техническую помощь с учетом состояния их здоровья, особенностей психофизического развития и индивидуальных возможностей, помогающих им передвигаться и ориентироваться в ППЭ, занять рабочее место, прочитать задания, заполнить регистрационные поля бланков, в том числе дополнительных бланков, перенести ответы на задания КИМ в бланки для записи ответов на задания КИМ для проведения ЕГЭ (бланк для записи ответов на задания КИМ для проведения ГВЭ), в том числе дополнительные бланки;</w:t>
            </w:r>
          </w:p>
          <w:p w14:paraId="00AA89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 w:eastAsiaTheme="minorEastAsia"/>
                <w:sz w:val="24"/>
                <w:szCs w:val="24"/>
                <w:lang w:eastAsia="ru-RU"/>
              </w:rPr>
            </w:pPr>
            <w:r>
              <w:rPr>
                <w:rFonts w:ascii="Arial" w:hAnsi="Arial" w:cs="Arial" w:eastAsiaTheme="minorEastAsia"/>
                <w:sz w:val="24"/>
                <w:szCs w:val="24"/>
                <w:lang w:eastAsia="ru-RU"/>
              </w:rPr>
              <w:t>2) использование на экзамене необходимых для выполнения заданий технических средств;</w:t>
            </w:r>
          </w:p>
          <w:p w14:paraId="1C782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 w:eastAsiaTheme="minorEastAsia"/>
                <w:sz w:val="24"/>
                <w:szCs w:val="24"/>
                <w:lang w:eastAsia="ru-RU"/>
              </w:rPr>
            </w:pPr>
            <w:r>
              <w:rPr>
                <w:rFonts w:ascii="Arial" w:hAnsi="Arial" w:cs="Arial" w:eastAsiaTheme="minorEastAsia"/>
                <w:sz w:val="24"/>
                <w:szCs w:val="24"/>
                <w:lang w:eastAsia="ru-RU"/>
              </w:rPr>
              <w:t>3) оборудование аудитории для проведения экзамена звукоусиливающей аппаратурой как коллективного, так и индивидуального пользования (для слабослышащих участников экзаменов);</w:t>
            </w:r>
          </w:p>
          <w:p w14:paraId="0129AF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 w:eastAsiaTheme="minorEastAsia"/>
                <w:sz w:val="24"/>
                <w:szCs w:val="24"/>
                <w:lang w:eastAsia="ru-RU"/>
              </w:rPr>
            </w:pPr>
            <w:r>
              <w:rPr>
                <w:rFonts w:ascii="Arial" w:hAnsi="Arial" w:cs="Arial" w:eastAsiaTheme="minorEastAsia"/>
                <w:sz w:val="24"/>
                <w:szCs w:val="24"/>
                <w:lang w:eastAsia="ru-RU"/>
              </w:rPr>
              <w:t>4) привлечение при необходимости ассистента-сурдопереводчика (для глухих и слабослышащих участников экзаменов);</w:t>
            </w:r>
          </w:p>
          <w:p w14:paraId="64721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 w:eastAsiaTheme="minorEastAsia"/>
                <w:sz w:val="24"/>
                <w:szCs w:val="24"/>
                <w:lang w:eastAsia="ru-RU"/>
              </w:rPr>
            </w:pPr>
            <w:r>
              <w:rPr>
                <w:rFonts w:ascii="Arial" w:hAnsi="Arial" w:cs="Arial" w:eastAsiaTheme="minorEastAsia"/>
                <w:sz w:val="24"/>
                <w:szCs w:val="24"/>
                <w:lang w:eastAsia="ru-RU"/>
              </w:rPr>
              <w:t>5) оформление КИМ рельефно-точечным шрифтом Брайля или в виде электронного документа, доступного с помощью компьютера; выполнение письменной экзаменационной работы рельефно-точечным шрифтом Брайля в специально предусмотренных тетрадях или на компьютере; обеспечение достаточным количеством специальных принадлежностей для оформления ответов рельефно-точечным шрифтом Брайля, компьютером (для слепых участников экзаменов);</w:t>
            </w:r>
          </w:p>
          <w:p w14:paraId="65E14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 w:eastAsiaTheme="minorEastAsia"/>
                <w:sz w:val="24"/>
                <w:szCs w:val="24"/>
                <w:lang w:eastAsia="ru-RU"/>
              </w:rPr>
            </w:pPr>
            <w:r>
              <w:rPr>
                <w:rFonts w:ascii="Arial" w:hAnsi="Arial" w:cs="Arial" w:eastAsiaTheme="minorEastAsia"/>
                <w:sz w:val="24"/>
                <w:szCs w:val="24"/>
                <w:lang w:eastAsia="ru-RU"/>
              </w:rPr>
              <w:t>6) копирование в увеличенном размере экзаменационных материалов в день проведения экзамена в аудитории в присутствии члена ГЭК; обеспечение аудиторий для проведения экзаменов увеличительными устройствами (лупа или иное увеличительное устройство); индивидуальное равномерное освещение не менее 300 люкс (для слабовидящих участников экзаменов);</w:t>
            </w:r>
          </w:p>
          <w:p w14:paraId="51D6B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 w:eastAsiaTheme="minorEastAsia"/>
                <w:sz w:val="26"/>
                <w:szCs w:val="26"/>
                <w:lang w:eastAsia="ru-RU"/>
              </w:rPr>
            </w:pPr>
            <w:r>
              <w:rPr>
                <w:rFonts w:ascii="Arial" w:hAnsi="Arial" w:cs="Arial" w:eastAsiaTheme="minorEastAsia"/>
                <w:sz w:val="24"/>
                <w:szCs w:val="24"/>
                <w:lang w:eastAsia="ru-RU"/>
              </w:rPr>
              <w:t>7) выполнение письменной экзаменационной работы на компьютере по желанию</w:t>
            </w:r>
          </w:p>
        </w:tc>
      </w:tr>
    </w:tbl>
    <w:p w14:paraId="30BBC9B5"/>
    <w:p w14:paraId="2F2F9044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415"/>
    <w:rsid w:val="007F74B5"/>
    <w:rsid w:val="008A3710"/>
    <w:rsid w:val="00B05EF2"/>
    <w:rsid w:val="00D40A10"/>
    <w:rsid w:val="00D72CC7"/>
    <w:rsid w:val="00FE4415"/>
    <w:rsid w:val="56AC22E7"/>
    <w:rsid w:val="65271032"/>
    <w:rsid w:val="7DD43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421</Words>
  <Characters>3101</Characters>
  <Lines>25</Lines>
  <Paragraphs>7</Paragraphs>
  <TotalTime>22</TotalTime>
  <ScaleCrop>false</ScaleCrop>
  <LinksUpToDate>false</LinksUpToDate>
  <CharactersWithSpaces>3506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2026-11-02T09:53:00Z</dcterms:created>
  <dc:creator>Слесарева Алла Анатольевна</dc:creator>
  <cp:lastModifiedBy>Татьяна Маклакова</cp:lastModifiedBy>
  <dcterms:modified xsi:type="dcterms:W3CDTF">2026-11-02T10:22:55Z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eyJoZGlkIjoiNzQzNmUzY2UxNjBjNTFlZDNhNTcyMzQwMzhlMTAyMWMiLCJ1c2VySWQiOiI4NDIyMzA2NTA0NDYifQ==</vt:lpwstr>
  </property>
  <property fmtid="{D5CDD505-2E9C-101B-9397-08002B2CF9AE}" pid="3" name="KSOProductBuildVer">
    <vt:lpwstr>1049-12.1.0.29162</vt:lpwstr>
  </property>
  <property fmtid="{D5CDD505-2E9C-101B-9397-08002B2CF9AE}" pid="4" name="ICV">
    <vt:lpwstr>EF99A3B40AAD4D938183F0BC0A7AEBE4_12</vt:lpwstr>
  </property>
</Properties>
</file>